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11" w:rsidRDefault="00221E5B">
      <w:pPr>
        <w:jc w:val="right"/>
      </w:pPr>
      <w:bookmarkStart w:id="0" w:name="_GoBack"/>
      <w:bookmarkEnd w:id="0"/>
      <w:r>
        <w:t>Приложение № 1</w:t>
      </w:r>
    </w:p>
    <w:p w:rsidR="00E05C11" w:rsidRDefault="00E05C11">
      <w:pPr>
        <w:rPr>
          <w:rFonts w:ascii="Times New Roman" w:eastAsia="Times New Roman" w:hAnsi="Times New Roman"/>
          <w:b/>
          <w:bCs/>
          <w:szCs w:val="28"/>
          <w:lang w:eastAsia="ar-SA"/>
        </w:rPr>
      </w:pPr>
    </w:p>
    <w:p w:rsidR="00E05C11" w:rsidRDefault="00221E5B">
      <w:pPr>
        <w:rPr>
          <w:rFonts w:ascii="Times New Roman" w:eastAsia="Times New Roman" w:hAnsi="Times New Roman"/>
          <w:b/>
          <w:bCs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Cs w:val="28"/>
          <w:lang w:eastAsia="ar-SA"/>
        </w:rPr>
        <w:t>О профилактической работе по предупреждению гибели</w:t>
      </w:r>
    </w:p>
    <w:p w:rsidR="00E05C11" w:rsidRDefault="00221E5B">
      <w:pPr>
        <w:rPr>
          <w:rFonts w:ascii="Times New Roman" w:eastAsia="Times New Roman" w:hAnsi="Times New Roman"/>
          <w:b/>
          <w:bCs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Cs w:val="28"/>
          <w:lang w:eastAsia="ar-SA"/>
        </w:rPr>
        <w:t>несовершеннолетних в результате пожаров</w:t>
      </w:r>
    </w:p>
    <w:p w:rsidR="00E05C11" w:rsidRDefault="00E05C11">
      <w:pPr>
        <w:rPr>
          <w:rFonts w:ascii="Times New Roman" w:hAnsi="Times New Roman" w:cs="Times New Roman"/>
          <w:szCs w:val="28"/>
        </w:rPr>
      </w:pPr>
    </w:p>
    <w:p w:rsidR="00E05C11" w:rsidRDefault="00221E5B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Обстановку с пожарами на территории Свердловской области, последствия которых привели к гибели несовершеннолетних нельзя назвать благополучной.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За </w:t>
      </w:r>
      <w:r>
        <w:rPr>
          <w:rFonts w:ascii="Times New Roman" w:hAnsi="Times New Roman" w:cs="Times New Roman"/>
          <w:szCs w:val="28"/>
        </w:rPr>
        <w:t>5 лет зарегистрировано 59 пожаров с гибелью несовершеннолетних.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noProof/>
          <w:szCs w:val="28"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54610</wp:posOffset>
            </wp:positionV>
            <wp:extent cx="4975225" cy="2800985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Cs w:val="28"/>
        </w:rPr>
        <w:t>Динамика изменения обстановки с пожарами характеризуется ежегодным чередованием каждый год снижения и увеличения количества пожаров в период с 2018 по 2022 года, в 2022 году зарегистрирован р</w:t>
      </w:r>
      <w:r>
        <w:rPr>
          <w:rFonts w:ascii="Times New Roman" w:hAnsi="Times New Roman" w:cs="Times New Roman"/>
          <w:szCs w:val="28"/>
        </w:rPr>
        <w:t>ост на 10 %. В 2022 году по сравнению с 2018 годом зарегистрировано повышение по данному показателю в 1,1 раза.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За 5 лет на данных пожарах погибли 76 несовершеннолетних. Динамика изменения обстановки с погибшими при пожарах несовершеннолетними характеризуе</w:t>
      </w:r>
      <w:r>
        <w:rPr>
          <w:rFonts w:ascii="Times New Roman" w:hAnsi="Times New Roman" w:cs="Times New Roman"/>
          <w:szCs w:val="28"/>
        </w:rPr>
        <w:t>тся чередованием каждый год снижения и увеличения количества погибших несовершеннолетних. В 2022 году по сравнению с 2018 годом зарегистрировано снижение по данному показателю на 32 %.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В целом ежегодно на территории Свердловской области на пожарах гибнет 1</w:t>
      </w:r>
      <w:r>
        <w:rPr>
          <w:rFonts w:ascii="Times New Roman" w:hAnsi="Times New Roman" w:cs="Times New Roman"/>
          <w:szCs w:val="28"/>
        </w:rPr>
        <w:t>5 детей.</w:t>
      </w:r>
    </w:p>
    <w:p w:rsidR="00E05C11" w:rsidRDefault="00221E5B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bidi="ar-SA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11750" cy="2875915"/>
            <wp:effectExtent l="0" t="0" r="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Количество пожаров и гибель несовершеннолетних в 100 % случаев зарегистрирована в жилом секторе и в многоквартирных жилых домах, из них в </w:t>
      </w:r>
      <w:proofErr w:type="gramStart"/>
      <w:r>
        <w:rPr>
          <w:rFonts w:ascii="Times New Roman" w:hAnsi="Times New Roman" w:cs="Times New Roman"/>
          <w:szCs w:val="28"/>
        </w:rPr>
        <w:t>93  %</w:t>
      </w:r>
      <w:proofErr w:type="gramEnd"/>
      <w:r>
        <w:rPr>
          <w:rFonts w:ascii="Times New Roman" w:hAnsi="Times New Roman" w:cs="Times New Roman"/>
          <w:szCs w:val="28"/>
        </w:rPr>
        <w:t xml:space="preserve"> при возникновении пожаров в частных жилых домах (71 несовершеннолетний), 5 % погибших в садовых домах</w:t>
      </w:r>
      <w:r>
        <w:rPr>
          <w:rFonts w:ascii="Times New Roman" w:hAnsi="Times New Roman" w:cs="Times New Roman"/>
          <w:szCs w:val="28"/>
        </w:rPr>
        <w:t xml:space="preserve"> и дачах (4 несовершеннолетних). 1 % погибших в зданиях, сооружениях и помещениях предприятий торговли (1 несовершеннолетний).</w:t>
      </w:r>
    </w:p>
    <w:p w:rsidR="00E05C11" w:rsidRDefault="00221E5B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Возраст погибших несовершеннолетних при возникновении пожаров в ночные и ранние утренние часы: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- до 7 лет составляет 38 % (29 нес</w:t>
      </w:r>
      <w:r>
        <w:rPr>
          <w:rFonts w:ascii="Times New Roman" w:hAnsi="Times New Roman" w:cs="Times New Roman"/>
          <w:szCs w:val="28"/>
        </w:rPr>
        <w:t>овершеннолетних).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- с 7 до 11 лет составляет 41 % (31 несовершеннолетних). 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- с 11 до 18 лет составляет 21 % (16 несовершеннолетних).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Несовершеннолетних школьного возраста погибло 47 (62 % от общего количества), дошкольного возраста 29 несовершеннолетних (</w:t>
      </w:r>
      <w:r>
        <w:rPr>
          <w:rFonts w:ascii="Times New Roman" w:hAnsi="Times New Roman" w:cs="Times New Roman"/>
          <w:szCs w:val="28"/>
        </w:rPr>
        <w:t>38 % от общего количества).</w:t>
      </w:r>
    </w:p>
    <w:p w:rsidR="00E05C11" w:rsidRDefault="00221E5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На территории Свердловской области в пятилетней динамике выделяются 27 муниципальных образований, в которых отмечается гибель несовершеннолетних при пожарах: МО «город Екатеринбург» (11 несовершеннолетних), МО </w:t>
      </w:r>
      <w:proofErr w:type="spellStart"/>
      <w:r>
        <w:rPr>
          <w:rFonts w:ascii="Times New Roman" w:hAnsi="Times New Roman" w:cs="Times New Roman"/>
          <w:szCs w:val="28"/>
        </w:rPr>
        <w:t>Алапаевское</w:t>
      </w:r>
      <w:proofErr w:type="spellEnd"/>
      <w:r>
        <w:rPr>
          <w:rFonts w:ascii="Times New Roman" w:hAnsi="Times New Roman" w:cs="Times New Roman"/>
          <w:szCs w:val="28"/>
        </w:rPr>
        <w:t xml:space="preserve"> (1 нес</w:t>
      </w:r>
      <w:r>
        <w:rPr>
          <w:rFonts w:ascii="Times New Roman" w:hAnsi="Times New Roman" w:cs="Times New Roman"/>
          <w:szCs w:val="28"/>
        </w:rPr>
        <w:t xml:space="preserve">овершеннолетний), Белоярский ГО (1 несовершеннолетний), МО «город Ирбит» (1 несовершеннолетний), </w:t>
      </w:r>
      <w:proofErr w:type="spellStart"/>
      <w:r>
        <w:rPr>
          <w:rFonts w:ascii="Times New Roman" w:hAnsi="Times New Roman" w:cs="Times New Roman"/>
          <w:szCs w:val="28"/>
        </w:rPr>
        <w:t>Ирбитское</w:t>
      </w:r>
      <w:proofErr w:type="spellEnd"/>
      <w:r>
        <w:rPr>
          <w:rFonts w:ascii="Times New Roman" w:hAnsi="Times New Roman" w:cs="Times New Roman"/>
          <w:szCs w:val="28"/>
        </w:rPr>
        <w:t xml:space="preserve"> МО (1 несовершеннолетний), МО «город Каменск-Уральский» (2 несовершеннолетних), Невьянский ГО (3 несовершеннолетних), ГО Краснотурьинск (1 несовершен</w:t>
      </w:r>
      <w:r>
        <w:rPr>
          <w:rFonts w:ascii="Times New Roman" w:hAnsi="Times New Roman" w:cs="Times New Roman"/>
          <w:szCs w:val="28"/>
        </w:rPr>
        <w:t xml:space="preserve">нолетний), </w:t>
      </w:r>
      <w:proofErr w:type="spellStart"/>
      <w:r>
        <w:rPr>
          <w:rFonts w:ascii="Times New Roman" w:hAnsi="Times New Roman" w:cs="Times New Roman"/>
          <w:szCs w:val="28"/>
        </w:rPr>
        <w:t>Волчанский</w:t>
      </w:r>
      <w:proofErr w:type="spellEnd"/>
      <w:r>
        <w:rPr>
          <w:rFonts w:ascii="Times New Roman" w:hAnsi="Times New Roman" w:cs="Times New Roman"/>
          <w:szCs w:val="28"/>
        </w:rPr>
        <w:t xml:space="preserve"> ГО (1 несовершеннолетний), </w:t>
      </w:r>
      <w:proofErr w:type="spellStart"/>
      <w:r>
        <w:rPr>
          <w:rFonts w:ascii="Times New Roman" w:hAnsi="Times New Roman" w:cs="Times New Roman"/>
          <w:szCs w:val="28"/>
        </w:rPr>
        <w:t>Артинский</w:t>
      </w:r>
      <w:proofErr w:type="spellEnd"/>
      <w:r>
        <w:rPr>
          <w:rFonts w:ascii="Times New Roman" w:hAnsi="Times New Roman" w:cs="Times New Roman"/>
          <w:szCs w:val="28"/>
        </w:rPr>
        <w:t xml:space="preserve"> ГО (2 несовершеннолетних), МО город Нижний Тагил (6 несовершеннолетних), </w:t>
      </w:r>
      <w:proofErr w:type="spellStart"/>
      <w:r>
        <w:rPr>
          <w:rFonts w:ascii="Times New Roman" w:hAnsi="Times New Roman" w:cs="Times New Roman"/>
          <w:szCs w:val="28"/>
        </w:rPr>
        <w:t>Горноуральский</w:t>
      </w:r>
      <w:proofErr w:type="spellEnd"/>
      <w:r>
        <w:rPr>
          <w:rFonts w:ascii="Times New Roman" w:hAnsi="Times New Roman" w:cs="Times New Roman"/>
          <w:szCs w:val="28"/>
        </w:rPr>
        <w:t xml:space="preserve"> ГО (9 несовершеннолетних), Полевской ГО (3 несовершеннолетних), </w:t>
      </w:r>
      <w:proofErr w:type="spellStart"/>
      <w:r>
        <w:rPr>
          <w:rFonts w:ascii="Times New Roman" w:hAnsi="Times New Roman" w:cs="Times New Roman"/>
          <w:szCs w:val="28"/>
        </w:rPr>
        <w:t>Режевской</w:t>
      </w:r>
      <w:proofErr w:type="spellEnd"/>
      <w:r>
        <w:rPr>
          <w:rFonts w:ascii="Times New Roman" w:hAnsi="Times New Roman" w:cs="Times New Roman"/>
          <w:szCs w:val="28"/>
        </w:rPr>
        <w:t xml:space="preserve"> ГО (1 несовершеннолетний), </w:t>
      </w:r>
      <w:proofErr w:type="spellStart"/>
      <w:r>
        <w:rPr>
          <w:rFonts w:ascii="Times New Roman" w:hAnsi="Times New Roman" w:cs="Times New Roman"/>
          <w:szCs w:val="28"/>
        </w:rPr>
        <w:t>Сосьвинс</w:t>
      </w:r>
      <w:r>
        <w:rPr>
          <w:rFonts w:ascii="Times New Roman" w:hAnsi="Times New Roman" w:cs="Times New Roman"/>
          <w:szCs w:val="28"/>
        </w:rPr>
        <w:t>кий</w:t>
      </w:r>
      <w:proofErr w:type="spellEnd"/>
      <w:r>
        <w:rPr>
          <w:rFonts w:ascii="Times New Roman" w:hAnsi="Times New Roman" w:cs="Times New Roman"/>
          <w:szCs w:val="28"/>
        </w:rPr>
        <w:t xml:space="preserve"> ГО (1 несовершеннолетний), </w:t>
      </w:r>
      <w:proofErr w:type="spellStart"/>
      <w:r>
        <w:rPr>
          <w:rFonts w:ascii="Times New Roman" w:hAnsi="Times New Roman" w:cs="Times New Roman"/>
          <w:szCs w:val="28"/>
        </w:rPr>
        <w:t>Сысертский</w:t>
      </w:r>
      <w:proofErr w:type="spellEnd"/>
      <w:r>
        <w:rPr>
          <w:rFonts w:ascii="Times New Roman" w:hAnsi="Times New Roman" w:cs="Times New Roman"/>
          <w:szCs w:val="28"/>
        </w:rPr>
        <w:t xml:space="preserve"> ГО (3  несовершеннолетний), Тавдинский ГО (3 несовершеннолетний), </w:t>
      </w:r>
      <w:proofErr w:type="spellStart"/>
      <w:r>
        <w:rPr>
          <w:rFonts w:ascii="Times New Roman" w:hAnsi="Times New Roman" w:cs="Times New Roman"/>
          <w:szCs w:val="28"/>
        </w:rPr>
        <w:t>Талицкий</w:t>
      </w:r>
      <w:proofErr w:type="spellEnd"/>
      <w:r>
        <w:rPr>
          <w:rFonts w:ascii="Times New Roman" w:hAnsi="Times New Roman" w:cs="Times New Roman"/>
          <w:szCs w:val="28"/>
        </w:rPr>
        <w:t xml:space="preserve"> ГО (3 несовершеннолетних), Туринский ГО (5 несовершеннолетних), ГО Верхняя Пышма (1 несовершеннолетний), </w:t>
      </w:r>
      <w:proofErr w:type="spellStart"/>
      <w:r>
        <w:rPr>
          <w:rFonts w:ascii="Times New Roman" w:hAnsi="Times New Roman" w:cs="Times New Roman"/>
          <w:szCs w:val="28"/>
        </w:rPr>
        <w:t>Ивдельский</w:t>
      </w:r>
      <w:proofErr w:type="spellEnd"/>
      <w:r>
        <w:rPr>
          <w:rFonts w:ascii="Times New Roman" w:hAnsi="Times New Roman" w:cs="Times New Roman"/>
          <w:szCs w:val="28"/>
        </w:rPr>
        <w:t xml:space="preserve"> ГО (1 несовершеннолетни</w:t>
      </w:r>
      <w:r>
        <w:rPr>
          <w:rFonts w:ascii="Times New Roman" w:hAnsi="Times New Roman" w:cs="Times New Roman"/>
          <w:szCs w:val="28"/>
        </w:rPr>
        <w:t xml:space="preserve">й), </w:t>
      </w:r>
      <w:proofErr w:type="spellStart"/>
      <w:r>
        <w:rPr>
          <w:rFonts w:ascii="Times New Roman" w:hAnsi="Times New Roman" w:cs="Times New Roman"/>
          <w:szCs w:val="28"/>
        </w:rPr>
        <w:t>Камышловский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МР</w:t>
      </w:r>
      <w:proofErr w:type="spellEnd"/>
      <w:r>
        <w:rPr>
          <w:rFonts w:ascii="Times New Roman" w:hAnsi="Times New Roman" w:cs="Times New Roman"/>
          <w:szCs w:val="28"/>
        </w:rPr>
        <w:t xml:space="preserve"> (2 несовершеннолетних), </w:t>
      </w:r>
      <w:proofErr w:type="spellStart"/>
      <w:r>
        <w:rPr>
          <w:rFonts w:ascii="Times New Roman" w:hAnsi="Times New Roman" w:cs="Times New Roman"/>
          <w:szCs w:val="28"/>
        </w:rPr>
        <w:t>Таборинский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МР</w:t>
      </w:r>
      <w:proofErr w:type="spellEnd"/>
      <w:r>
        <w:rPr>
          <w:rFonts w:ascii="Times New Roman" w:hAnsi="Times New Roman" w:cs="Times New Roman"/>
          <w:szCs w:val="28"/>
        </w:rPr>
        <w:t xml:space="preserve"> (2 несовершеннолетних), ГО Заречный (3 несовершеннолетних), </w:t>
      </w:r>
      <w:proofErr w:type="spellStart"/>
      <w:r>
        <w:rPr>
          <w:rFonts w:ascii="Times New Roman" w:hAnsi="Times New Roman" w:cs="Times New Roman"/>
          <w:szCs w:val="28"/>
        </w:rPr>
        <w:t>Серовский</w:t>
      </w:r>
      <w:proofErr w:type="spellEnd"/>
      <w:r>
        <w:rPr>
          <w:rFonts w:ascii="Times New Roman" w:hAnsi="Times New Roman" w:cs="Times New Roman"/>
          <w:szCs w:val="28"/>
        </w:rPr>
        <w:t xml:space="preserve"> ГО (1 несовершеннолетний), </w:t>
      </w:r>
      <w:r>
        <w:rPr>
          <w:rFonts w:ascii="Times New Roman" w:hAnsi="Times New Roman" w:cs="Times New Roman"/>
          <w:szCs w:val="28"/>
        </w:rPr>
        <w:lastRenderedPageBreak/>
        <w:t>Кировградский ГО (2 несовершеннолетних), ГО Богданович (6 несовершеннолетних).</w:t>
      </w:r>
    </w:p>
    <w:p w:rsidR="00E05C11" w:rsidRDefault="00221E5B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Как правило, случаи г</w:t>
      </w:r>
      <w:r>
        <w:rPr>
          <w:rFonts w:ascii="Times New Roman" w:hAnsi="Times New Roman" w:cs="Times New Roman"/>
          <w:szCs w:val="28"/>
        </w:rPr>
        <w:t xml:space="preserve">ибели носят спорадический (случайный) характер и не зависят ни от количества населения территории, ни от ее статуса (город, </w:t>
      </w:r>
      <w:proofErr w:type="spellStart"/>
      <w:r>
        <w:rPr>
          <w:rFonts w:ascii="Times New Roman" w:hAnsi="Times New Roman" w:cs="Times New Roman"/>
          <w:szCs w:val="28"/>
        </w:rPr>
        <w:t>пгт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рп</w:t>
      </w:r>
      <w:proofErr w:type="spellEnd"/>
      <w:r>
        <w:rPr>
          <w:rFonts w:ascii="Times New Roman" w:hAnsi="Times New Roman" w:cs="Times New Roman"/>
          <w:szCs w:val="28"/>
        </w:rPr>
        <w:t xml:space="preserve">, сельская местность). </w:t>
      </w:r>
    </w:p>
    <w:p w:rsidR="00E05C11" w:rsidRDefault="00221E5B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2022 году впервые за последние пять лет детская гибель зарегистрирована </w:t>
      </w:r>
      <w:proofErr w:type="gramStart"/>
      <w:r>
        <w:rPr>
          <w:rFonts w:ascii="Times New Roman" w:hAnsi="Times New Roman" w:cs="Times New Roman"/>
          <w:szCs w:val="28"/>
        </w:rPr>
        <w:t>в  следующих</w:t>
      </w:r>
      <w:proofErr w:type="gramEnd"/>
      <w:r>
        <w:rPr>
          <w:rFonts w:ascii="Times New Roman" w:hAnsi="Times New Roman" w:cs="Times New Roman"/>
          <w:szCs w:val="28"/>
        </w:rPr>
        <w:t xml:space="preserve"> муниципальных </w:t>
      </w:r>
      <w:r>
        <w:rPr>
          <w:rFonts w:ascii="Times New Roman" w:hAnsi="Times New Roman" w:cs="Times New Roman"/>
          <w:szCs w:val="28"/>
        </w:rPr>
        <w:t xml:space="preserve">образованиях Свердловской области: МО </w:t>
      </w:r>
      <w:proofErr w:type="spellStart"/>
      <w:r>
        <w:rPr>
          <w:rFonts w:ascii="Times New Roman" w:hAnsi="Times New Roman" w:cs="Times New Roman"/>
          <w:szCs w:val="28"/>
        </w:rPr>
        <w:t>Алапаевское</w:t>
      </w:r>
      <w:proofErr w:type="spellEnd"/>
      <w:r>
        <w:rPr>
          <w:rFonts w:ascii="Times New Roman" w:hAnsi="Times New Roman" w:cs="Times New Roman"/>
          <w:szCs w:val="28"/>
        </w:rPr>
        <w:t xml:space="preserve">, Белоярский ГО, МО «город Ирбит», </w:t>
      </w:r>
      <w:proofErr w:type="spellStart"/>
      <w:r>
        <w:rPr>
          <w:rFonts w:ascii="Times New Roman" w:hAnsi="Times New Roman" w:cs="Times New Roman"/>
          <w:szCs w:val="28"/>
        </w:rPr>
        <w:t>Ирбитское</w:t>
      </w:r>
      <w:proofErr w:type="spellEnd"/>
      <w:r>
        <w:rPr>
          <w:rFonts w:ascii="Times New Roman" w:hAnsi="Times New Roman" w:cs="Times New Roman"/>
          <w:szCs w:val="28"/>
        </w:rPr>
        <w:t xml:space="preserve"> МО, ГО Краснотурьинск, </w:t>
      </w:r>
      <w:proofErr w:type="spellStart"/>
      <w:r>
        <w:rPr>
          <w:rFonts w:ascii="Times New Roman" w:hAnsi="Times New Roman" w:cs="Times New Roman"/>
          <w:szCs w:val="28"/>
        </w:rPr>
        <w:t>Волчанский</w:t>
      </w:r>
      <w:proofErr w:type="spellEnd"/>
      <w:r>
        <w:rPr>
          <w:rFonts w:ascii="Times New Roman" w:hAnsi="Times New Roman" w:cs="Times New Roman"/>
          <w:szCs w:val="28"/>
        </w:rPr>
        <w:t xml:space="preserve"> ГО, </w:t>
      </w:r>
      <w:proofErr w:type="spellStart"/>
      <w:r>
        <w:rPr>
          <w:rFonts w:ascii="Times New Roman" w:hAnsi="Times New Roman" w:cs="Times New Roman"/>
          <w:szCs w:val="28"/>
        </w:rPr>
        <w:t>Режевской</w:t>
      </w:r>
      <w:proofErr w:type="spellEnd"/>
      <w:r>
        <w:rPr>
          <w:rFonts w:ascii="Times New Roman" w:hAnsi="Times New Roman" w:cs="Times New Roman"/>
          <w:szCs w:val="28"/>
        </w:rPr>
        <w:t xml:space="preserve"> ГО, </w:t>
      </w:r>
      <w:proofErr w:type="spellStart"/>
      <w:r>
        <w:rPr>
          <w:rFonts w:ascii="Times New Roman" w:hAnsi="Times New Roman" w:cs="Times New Roman"/>
          <w:szCs w:val="28"/>
        </w:rPr>
        <w:t>Сосьвинский</w:t>
      </w:r>
      <w:proofErr w:type="spellEnd"/>
      <w:r>
        <w:rPr>
          <w:rFonts w:ascii="Times New Roman" w:hAnsi="Times New Roman" w:cs="Times New Roman"/>
          <w:szCs w:val="28"/>
        </w:rPr>
        <w:t xml:space="preserve"> ГО, ГО Верхняя Пышма, </w:t>
      </w:r>
      <w:proofErr w:type="spellStart"/>
      <w:r>
        <w:rPr>
          <w:rFonts w:ascii="Times New Roman" w:hAnsi="Times New Roman" w:cs="Times New Roman"/>
          <w:szCs w:val="28"/>
        </w:rPr>
        <w:t>Ивдельский</w:t>
      </w:r>
      <w:proofErr w:type="spellEnd"/>
      <w:r>
        <w:rPr>
          <w:rFonts w:ascii="Times New Roman" w:hAnsi="Times New Roman" w:cs="Times New Roman"/>
          <w:szCs w:val="28"/>
        </w:rPr>
        <w:t xml:space="preserve"> ГО, </w:t>
      </w:r>
      <w:proofErr w:type="spellStart"/>
      <w:r>
        <w:rPr>
          <w:rFonts w:ascii="Times New Roman" w:hAnsi="Times New Roman" w:cs="Times New Roman"/>
          <w:szCs w:val="28"/>
        </w:rPr>
        <w:t>Серовский</w:t>
      </w:r>
      <w:proofErr w:type="spellEnd"/>
      <w:r>
        <w:rPr>
          <w:rFonts w:ascii="Times New Roman" w:hAnsi="Times New Roman" w:cs="Times New Roman"/>
          <w:szCs w:val="28"/>
        </w:rPr>
        <w:t xml:space="preserve"> ГО.</w:t>
      </w:r>
    </w:p>
    <w:p w:rsidR="00E05C11" w:rsidRDefault="00221E5B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Систематическая гибель несовершеннолетних регис</w:t>
      </w:r>
      <w:r>
        <w:rPr>
          <w:rFonts w:ascii="Times New Roman" w:hAnsi="Times New Roman" w:cs="Times New Roman"/>
          <w:szCs w:val="28"/>
        </w:rPr>
        <w:t xml:space="preserve">трировалась на территории пяти муниципальных образований – МО «город Екатеринбург», </w:t>
      </w:r>
      <w:proofErr w:type="spellStart"/>
      <w:r>
        <w:rPr>
          <w:rFonts w:ascii="Times New Roman" w:hAnsi="Times New Roman" w:cs="Times New Roman"/>
          <w:szCs w:val="28"/>
        </w:rPr>
        <w:t>Горноуральский</w:t>
      </w:r>
      <w:proofErr w:type="spellEnd"/>
      <w:r>
        <w:rPr>
          <w:rFonts w:ascii="Times New Roman" w:hAnsi="Times New Roman" w:cs="Times New Roman"/>
          <w:szCs w:val="28"/>
        </w:rPr>
        <w:t xml:space="preserve"> ГО, город Нижний Тагил, Туринский ГО, ГО Богданович.</w:t>
      </w:r>
    </w:p>
    <w:p w:rsidR="00E05C11" w:rsidRDefault="00221E5B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Основной причиной возникновения пожаров послужило ненадлежащее отношение взрослых к обеспечению соответс</w:t>
      </w:r>
      <w:r>
        <w:rPr>
          <w:rFonts w:ascii="Times New Roman" w:eastAsia="Times New Roman" w:hAnsi="Times New Roman" w:cs="Times New Roman"/>
          <w:szCs w:val="28"/>
        </w:rPr>
        <w:t>твующих условий по пожарной безопасности состояния жилого помещения, которое в основном выражалось в следующих действиях или бездействии:</w:t>
      </w:r>
    </w:p>
    <w:p w:rsidR="00E05C11" w:rsidRDefault="00221E5B">
      <w:pPr>
        <w:ind w:firstLine="709"/>
        <w:jc w:val="both"/>
      </w:pPr>
      <w:r>
        <w:rPr>
          <w:rFonts w:ascii="Times New Roman" w:eastAsia="Times New Roman" w:hAnsi="Times New Roman" w:cs="Times New Roman"/>
          <w:iCs/>
          <w:szCs w:val="28"/>
        </w:rPr>
        <w:t>Неосторожное обращение с огнем – погибло 33 несовершеннолетних (46% от общего количества); из них по причине неосторож</w:t>
      </w:r>
      <w:r>
        <w:rPr>
          <w:rFonts w:ascii="Times New Roman" w:eastAsia="Times New Roman" w:hAnsi="Times New Roman" w:cs="Times New Roman"/>
          <w:iCs/>
          <w:szCs w:val="28"/>
        </w:rPr>
        <w:t>ное обращение с огнем детей погибло - 20 несовершеннолетних (26%); нарушение правил устройства и эксплуатации (</w:t>
      </w:r>
      <w:proofErr w:type="spellStart"/>
      <w:r>
        <w:rPr>
          <w:rFonts w:ascii="Times New Roman" w:eastAsia="Times New Roman" w:hAnsi="Times New Roman" w:cs="Times New Roman"/>
          <w:iCs/>
          <w:szCs w:val="28"/>
        </w:rPr>
        <w:t>НПУиЭ</w:t>
      </w:r>
      <w:proofErr w:type="spellEnd"/>
      <w:r>
        <w:rPr>
          <w:rFonts w:ascii="Times New Roman" w:eastAsia="Times New Roman" w:hAnsi="Times New Roman" w:cs="Times New Roman"/>
          <w:iCs/>
          <w:szCs w:val="28"/>
        </w:rPr>
        <w:t>) электрооборудования – погибло 31 несовершеннолетний (41%); поджог - погибло 3 несовершеннолетних (4%); от шалости детей - погибло 7 несове</w:t>
      </w:r>
      <w:r>
        <w:rPr>
          <w:rFonts w:ascii="Times New Roman" w:eastAsia="Times New Roman" w:hAnsi="Times New Roman" w:cs="Times New Roman"/>
          <w:iCs/>
          <w:szCs w:val="28"/>
        </w:rPr>
        <w:t>ршеннолетних (8%); неосторожного обращения с огнем при курении — погибло 2 несовершеннолетних (3%); (</w:t>
      </w:r>
      <w:proofErr w:type="spellStart"/>
      <w:r>
        <w:rPr>
          <w:rFonts w:ascii="Times New Roman" w:eastAsia="Times New Roman" w:hAnsi="Times New Roman" w:cs="Times New Roman"/>
          <w:iCs/>
          <w:szCs w:val="28"/>
        </w:rPr>
        <w:t>НПУиЭ</w:t>
      </w:r>
      <w:proofErr w:type="spellEnd"/>
      <w:r>
        <w:rPr>
          <w:rFonts w:ascii="Times New Roman" w:eastAsia="Times New Roman" w:hAnsi="Times New Roman" w:cs="Times New Roman"/>
          <w:iCs/>
          <w:szCs w:val="28"/>
        </w:rPr>
        <w:t>) печей – погибло 5 несовершеннолетних (8%); (</w:t>
      </w:r>
      <w:proofErr w:type="spellStart"/>
      <w:r>
        <w:rPr>
          <w:rFonts w:ascii="Times New Roman" w:eastAsia="Times New Roman" w:hAnsi="Times New Roman" w:cs="Times New Roman"/>
          <w:iCs/>
          <w:szCs w:val="28"/>
        </w:rPr>
        <w:t>НПУиЭ</w:t>
      </w:r>
      <w:proofErr w:type="spellEnd"/>
      <w:r>
        <w:rPr>
          <w:rFonts w:ascii="Times New Roman" w:eastAsia="Times New Roman" w:hAnsi="Times New Roman" w:cs="Times New Roman"/>
          <w:iCs/>
          <w:szCs w:val="28"/>
        </w:rPr>
        <w:t>) газового оборудования –  погибло 4 несовершеннолетних (5%); причина не установлена - погибло 4 не</w:t>
      </w:r>
      <w:r>
        <w:rPr>
          <w:rFonts w:ascii="Times New Roman" w:eastAsia="Times New Roman" w:hAnsi="Times New Roman" w:cs="Times New Roman"/>
          <w:iCs/>
          <w:szCs w:val="28"/>
        </w:rPr>
        <w:t>совершеннолетних.</w:t>
      </w:r>
    </w:p>
    <w:sectPr w:rsidR="00E05C11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5B" w:rsidRDefault="00221E5B">
      <w:r>
        <w:separator/>
      </w:r>
    </w:p>
  </w:endnote>
  <w:endnote w:type="continuationSeparator" w:id="0">
    <w:p w:rsidR="00221E5B" w:rsidRDefault="0022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11" w:rsidRDefault="00E05C11">
    <w:pPr>
      <w:pStyle w:val="a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5B" w:rsidRDefault="00221E5B">
      <w:r>
        <w:separator/>
      </w:r>
    </w:p>
  </w:footnote>
  <w:footnote w:type="continuationSeparator" w:id="0">
    <w:p w:rsidR="00221E5B" w:rsidRDefault="00221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11" w:rsidRDefault="00E05C11">
    <w:pPr>
      <w:pStyle w:val="a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11"/>
    <w:rsid w:val="00221E5B"/>
    <w:rsid w:val="00AE0817"/>
    <w:rsid w:val="00E0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F4633-AF2A-478E-B46A-F60F0D3B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313148160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1"/>
    <w:qFormat/>
    <w:pPr>
      <w:spacing w:after="170"/>
    </w:pPr>
    <w:rPr>
      <w:b/>
    </w:rPr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2">
    <w:name w:val="Конец нумерованного списка 1"/>
    <w:basedOn w:val="afe"/>
    <w:next w:val="40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5">
    <w:name w:val="Конец маркированного списка 1"/>
    <w:basedOn w:val="afe"/>
    <w:next w:val="34"/>
    <w:qFormat/>
  </w:style>
  <w:style w:type="paragraph" w:styleId="aff9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ер •"/>
    <w:qFormat/>
  </w:style>
  <w:style w:type="numbering" w:customStyle="1" w:styleId="affffa">
    <w:name w:val="Маркер –"/>
    <w:qFormat/>
  </w:style>
  <w:style w:type="numbering" w:customStyle="1" w:styleId="affffb">
    <w:name w:val="Маркер "/>
    <w:qFormat/>
  </w:style>
  <w:style w:type="numbering" w:customStyle="1" w:styleId="affffc">
    <w:name w:val="Маркер "/>
    <w:qFormat/>
  </w:style>
  <w:style w:type="numbering" w:customStyle="1" w:styleId="affffd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sz="1300" b="0" strike="noStrike" spc="-1">
                <a:solidFill>
                  <a:srgbClr val="000000"/>
                </a:solidFill>
                <a:latin typeface="Arial"/>
              </a:defRPr>
            </a:pPr>
            <a:r>
              <a:rPr lang="ru-RU" sz="1300" b="0" strike="noStrike" spc="-1">
                <a:solidFill>
                  <a:srgbClr val="000000"/>
                </a:solidFill>
                <a:latin typeface="Arial"/>
              </a:rPr>
              <a:t>Пожары с гибелью несовершеннолетних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1"/>
      <c:rotY val="25"/>
      <c:rAngAx val="1"/>
    </c:view3D>
    <c:floor>
      <c:thickness val="0"/>
      <c:spPr>
        <a:solidFill>
          <a:srgbClr val="CCCCCC"/>
        </a:solidFill>
        <a:ln>
          <a:noFill/>
        </a:ln>
      </c:spPr>
    </c:floor>
    <c:sideWall>
      <c:thickness val="0"/>
      <c:spPr>
        <a:noFill/>
        <a:ln>
          <a:solidFill>
            <a:srgbClr val="B3B3B3"/>
          </a:solidFill>
        </a:ln>
      </c:spPr>
    </c:sideWall>
    <c:backWall>
      <c:thickness val="0"/>
      <c:spPr>
        <a:noFill/>
        <a:ln>
          <a:solidFill>
            <a:srgbClr val="B3B3B3"/>
          </a:solidFill>
        </a:ln>
      </c:spPr>
    </c:backWall>
    <c:plotArea>
      <c:layout>
        <c:manualLayout>
          <c:layoutTarget val="inner"/>
          <c:xMode val="edge"/>
          <c:yMode val="edge"/>
          <c:x val="6.5500000000000003E-2"/>
          <c:y val="0.145666666666667"/>
          <c:w val="0.78625"/>
          <c:h val="0.7607777777777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Строка 3</c:v>
                </c:pt>
              </c:strCache>
            </c:strRef>
          </c:tx>
          <c:spPr>
            <a:solidFill>
              <a:srgbClr val="004586"/>
            </a:solidFill>
            <a:ln>
              <a:solidFill>
                <a:srgbClr val="000000"/>
              </a:solidFill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9</c:v>
                </c:pt>
                <c:pt idx="3">
                  <c:v>11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420421880"/>
        <c:axId val="420422272"/>
        <c:axId val="0"/>
      </c:bar3DChart>
      <c:catAx>
        <c:axId val="420421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420422272"/>
        <c:crosses val="autoZero"/>
        <c:auto val="1"/>
        <c:lblAlgn val="ctr"/>
        <c:lblOffset val="100"/>
        <c:noMultiLvlLbl val="0"/>
      </c:catAx>
      <c:valAx>
        <c:axId val="420422272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420421880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sz="1300" b="0" strike="noStrike" spc="-1">
                <a:solidFill>
                  <a:srgbClr val="000000"/>
                </a:solidFill>
                <a:latin typeface="Arial"/>
              </a:defRPr>
            </a:pPr>
            <a:r>
              <a:rPr lang="ru-RU" sz="1300" b="0" strike="noStrike" spc="-1">
                <a:solidFill>
                  <a:srgbClr val="000000"/>
                </a:solidFill>
                <a:latin typeface="Arial"/>
              </a:rPr>
              <a:t>Количество погибших несовершеннолетних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1"/>
      <c:rotY val="25"/>
      <c:rAngAx val="1"/>
    </c:view3D>
    <c:floor>
      <c:thickness val="0"/>
      <c:spPr>
        <a:solidFill>
          <a:srgbClr val="CCCCCC"/>
        </a:solidFill>
        <a:ln>
          <a:noFill/>
        </a:ln>
      </c:spPr>
    </c:floor>
    <c:sideWall>
      <c:thickness val="0"/>
      <c:spPr>
        <a:noFill/>
        <a:ln>
          <a:solidFill>
            <a:srgbClr val="B3B3B3"/>
          </a:solidFill>
        </a:ln>
      </c:spPr>
    </c:sideWall>
    <c:backWall>
      <c:thickness val="0"/>
      <c:spPr>
        <a:noFill/>
        <a:ln>
          <a:solidFill>
            <a:srgbClr val="B3B3B3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Строка 7</c:v>
                </c:pt>
              </c:strCache>
            </c:strRef>
          </c:tx>
          <c:spPr>
            <a:solidFill>
              <a:srgbClr val="004586"/>
            </a:solidFill>
            <a:ln>
              <a:solidFill>
                <a:srgbClr val="000000"/>
              </a:solidFill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16</c:v>
                </c:pt>
                <c:pt idx="1">
                  <c:v>16</c:v>
                </c:pt>
                <c:pt idx="2">
                  <c:v>13</c:v>
                </c:pt>
                <c:pt idx="3">
                  <c:v>18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420421096"/>
        <c:axId val="494910472"/>
        <c:axId val="0"/>
      </c:bar3DChart>
      <c:catAx>
        <c:axId val="420421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494910472"/>
        <c:crosses val="autoZero"/>
        <c:auto val="1"/>
        <c:lblAlgn val="ctr"/>
        <c:lblOffset val="100"/>
        <c:noMultiLvlLbl val="0"/>
      </c:catAx>
      <c:valAx>
        <c:axId val="494910472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420421096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user</dc:creator>
  <dc:description/>
  <cp:lastModifiedBy>user</cp:lastModifiedBy>
  <cp:revision>2</cp:revision>
  <dcterms:created xsi:type="dcterms:W3CDTF">2023-01-23T06:52:00Z</dcterms:created>
  <dcterms:modified xsi:type="dcterms:W3CDTF">2023-01-23T06:52:00Z</dcterms:modified>
  <dc:language>ru-RU</dc:language>
</cp:coreProperties>
</file>